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6F0" w:rsidRDefault="00D44316">
      <w:pPr>
        <w:suppressAutoHyphens/>
        <w:spacing w:line="276" w:lineRule="auto"/>
        <w:ind w:left="9072"/>
        <w:textAlignment w:val="baseline"/>
      </w:pPr>
      <w:r>
        <w:rPr>
          <w:szCs w:val="24"/>
          <w:lang w:eastAsia="lt-LT"/>
        </w:rPr>
        <w:t>Teisės aktų projektų antikorupcinio vertinimo taisyklių</w:t>
      </w:r>
    </w:p>
    <w:p w:rsidR="006E0000" w:rsidRDefault="006E0000" w:rsidP="006E0000">
      <w:pPr>
        <w:suppressAutoHyphens/>
        <w:spacing w:line="276" w:lineRule="auto"/>
        <w:ind w:left="9072"/>
        <w:textAlignment w:val="baseline"/>
        <w:rPr>
          <w:color w:val="000000"/>
          <w:szCs w:val="24"/>
          <w:lang w:eastAsia="ar-SA"/>
        </w:rPr>
      </w:pPr>
      <w:r>
        <w:rPr>
          <w:color w:val="000000"/>
          <w:szCs w:val="24"/>
          <w:lang w:eastAsia="ar-SA"/>
        </w:rPr>
        <w:t>P</w:t>
      </w:r>
      <w:r w:rsidR="00D44316">
        <w:rPr>
          <w:color w:val="000000"/>
          <w:szCs w:val="24"/>
          <w:lang w:eastAsia="ar-SA"/>
        </w:rPr>
        <w:t>riedas</w:t>
      </w:r>
    </w:p>
    <w:p w:rsidR="00B336F0" w:rsidRDefault="00D44316" w:rsidP="006E0000">
      <w:pPr>
        <w:suppressAutoHyphens/>
        <w:spacing w:line="276" w:lineRule="auto"/>
        <w:ind w:left="5040" w:firstLine="720"/>
        <w:textAlignment w:val="baseline"/>
        <w:rPr>
          <w:b/>
          <w:szCs w:val="24"/>
          <w:lang w:eastAsia="lt-LT"/>
        </w:rPr>
      </w:pPr>
      <w:r>
        <w:rPr>
          <w:szCs w:val="24"/>
          <w:lang w:eastAsia="lt-LT"/>
        </w:rPr>
        <w:t>(</w:t>
      </w:r>
      <w:r>
        <w:rPr>
          <w:b/>
          <w:szCs w:val="24"/>
          <w:lang w:eastAsia="lt-LT"/>
        </w:rPr>
        <w:t>Pažymos forma</w:t>
      </w:r>
      <w:r>
        <w:rPr>
          <w:szCs w:val="24"/>
          <w:lang w:eastAsia="lt-LT"/>
        </w:rPr>
        <w:t>)</w:t>
      </w:r>
    </w:p>
    <w:p w:rsidR="00B336F0" w:rsidRDefault="00D44316" w:rsidP="006E0000">
      <w:pPr>
        <w:suppressAutoHyphens/>
        <w:spacing w:line="276" w:lineRule="auto"/>
        <w:jc w:val="center"/>
        <w:textAlignment w:val="baseline"/>
        <w:rPr>
          <w:b/>
          <w:szCs w:val="24"/>
          <w:lang w:eastAsia="lt-LT"/>
        </w:rPr>
      </w:pPr>
      <w:r>
        <w:rPr>
          <w:b/>
          <w:szCs w:val="24"/>
          <w:lang w:eastAsia="lt-LT"/>
        </w:rPr>
        <w:t>TEISĖS AKTŲ PROJEKTŲ ANTIKORUPCINIO VERTINIMO PAŽYMA</w:t>
      </w:r>
      <w:r w:rsidR="000150D8">
        <w:rPr>
          <w:b/>
          <w:szCs w:val="24"/>
          <w:lang w:eastAsia="lt-LT"/>
        </w:rPr>
        <w:t xml:space="preserve"> NR. </w:t>
      </w:r>
      <w:r w:rsidR="003F7946">
        <w:rPr>
          <w:b/>
          <w:szCs w:val="24"/>
          <w:lang w:eastAsia="lt-LT"/>
        </w:rPr>
        <w:t>2</w:t>
      </w:r>
    </w:p>
    <w:p w:rsidR="006E0000" w:rsidRDefault="006E0000" w:rsidP="006E0000">
      <w:pPr>
        <w:suppressAutoHyphens/>
        <w:spacing w:line="276" w:lineRule="auto"/>
        <w:jc w:val="center"/>
        <w:textAlignment w:val="baseline"/>
        <w:rPr>
          <w:szCs w:val="24"/>
          <w:lang w:eastAsia="lt-LT"/>
        </w:rPr>
      </w:pPr>
    </w:p>
    <w:p w:rsidR="00B336F0" w:rsidRPr="000150D8" w:rsidRDefault="00D44316">
      <w:pPr>
        <w:suppressAutoHyphens/>
        <w:spacing w:line="276" w:lineRule="auto"/>
        <w:jc w:val="both"/>
        <w:textAlignment w:val="baseline"/>
        <w:rPr>
          <w:b/>
          <w:szCs w:val="24"/>
          <w:lang w:eastAsia="lt-LT"/>
        </w:rPr>
      </w:pPr>
      <w:r>
        <w:rPr>
          <w:szCs w:val="24"/>
          <w:lang w:eastAsia="lt-LT"/>
        </w:rPr>
        <w:t xml:space="preserve">Teisės akto projekto pavadinimas </w:t>
      </w:r>
      <w:r w:rsidR="006815C3" w:rsidRPr="000150D8">
        <w:rPr>
          <w:b/>
          <w:szCs w:val="24"/>
          <w:lang w:eastAsia="lt-LT"/>
        </w:rPr>
        <w:t xml:space="preserve">Dėl </w:t>
      </w:r>
      <w:r w:rsidR="003F7946">
        <w:rPr>
          <w:b/>
          <w:szCs w:val="24"/>
          <w:lang w:eastAsia="lt-LT"/>
        </w:rPr>
        <w:t>Panevėžio rajono savivaldybės turto perdavimo valdyti, naudoti ir disponuoti juo patikėjimo teise tvarkos aprašo patvirtinimo</w:t>
      </w:r>
    </w:p>
    <w:p w:rsidR="00B336F0" w:rsidRPr="000150D8" w:rsidRDefault="00D44316">
      <w:pPr>
        <w:suppressAutoHyphens/>
        <w:spacing w:line="276" w:lineRule="auto"/>
        <w:jc w:val="both"/>
        <w:textAlignment w:val="baseline"/>
        <w:rPr>
          <w:b/>
          <w:szCs w:val="24"/>
          <w:lang w:eastAsia="lt-LT"/>
        </w:rPr>
      </w:pPr>
      <w:r>
        <w:rPr>
          <w:szCs w:val="24"/>
          <w:lang w:eastAsia="lt-LT"/>
        </w:rPr>
        <w:t>Teisės akt</w:t>
      </w:r>
      <w:r w:rsidR="000150D8">
        <w:rPr>
          <w:szCs w:val="24"/>
          <w:lang w:eastAsia="lt-LT"/>
        </w:rPr>
        <w:t xml:space="preserve">o projekto tiesioginis rengėjas </w:t>
      </w:r>
      <w:r w:rsidR="003F7946" w:rsidRPr="003F7946">
        <w:rPr>
          <w:b/>
          <w:szCs w:val="24"/>
          <w:lang w:eastAsia="lt-LT"/>
        </w:rPr>
        <w:t>E</w:t>
      </w:r>
      <w:r w:rsidR="003F7946">
        <w:rPr>
          <w:b/>
          <w:szCs w:val="24"/>
          <w:lang w:eastAsia="lt-LT"/>
        </w:rPr>
        <w:t xml:space="preserve">konomikos ir </w:t>
      </w:r>
      <w:r w:rsidR="003F7946" w:rsidRPr="003F7946">
        <w:rPr>
          <w:b/>
          <w:szCs w:val="24"/>
          <w:lang w:eastAsia="lt-LT"/>
        </w:rPr>
        <w:t>turto valdymo skyriaus vedėja Aldona Čiegytė</w:t>
      </w:r>
    </w:p>
    <w:p w:rsidR="00B336F0" w:rsidRDefault="00D44316">
      <w:pPr>
        <w:suppressAutoHyphens/>
        <w:spacing w:line="276" w:lineRule="auto"/>
        <w:textAlignment w:val="baseline"/>
        <w:rPr>
          <w:color w:val="000000"/>
        </w:rPr>
      </w:pPr>
      <w:r>
        <w:rPr>
          <w:color w:val="000000"/>
        </w:rPr>
        <w:t>Teisės akto projekto antikorupcinis vertinimas atliktas (</w:t>
      </w:r>
      <w:r>
        <w:rPr>
          <w:i/>
          <w:color w:val="000000"/>
        </w:rPr>
        <w:t>pažymėti reikiamą atsakymą</w:t>
      </w:r>
      <w:r>
        <w:rPr>
          <w:color w:val="000000"/>
        </w:rPr>
        <w:t>):</w:t>
      </w:r>
    </w:p>
    <w:p w:rsidR="00B336F0" w:rsidRDefault="000517ED">
      <w:pPr>
        <w:suppressAutoHyphens/>
        <w:spacing w:line="276" w:lineRule="auto"/>
        <w:ind w:firstLine="1296"/>
        <w:textAlignment w:val="baseline"/>
        <w:rPr>
          <w:szCs w:val="24"/>
          <w:lang w:eastAsia="lt-LT"/>
        </w:rPr>
      </w:pPr>
      <w:r>
        <w:rPr>
          <w:szCs w:val="24"/>
          <w:lang w:eastAsia="lt-LT"/>
        </w:rPr>
        <w:t>X</w:t>
      </w:r>
      <w:r w:rsidR="00D44316">
        <w:rPr>
          <w:szCs w:val="24"/>
          <w:lang w:eastAsia="lt-LT"/>
        </w:rPr>
        <w:t xml:space="preserve"> suderinus teisės akto projektą viešojo administravimo subjekte ir su </w:t>
      </w:r>
      <w:r w:rsidR="00D44316">
        <w:rPr>
          <w:szCs w:val="24"/>
        </w:rPr>
        <w:t>pavaldžiomis įstaigomis (įstaigomis prie ministerijos ir kitomis ministrui pavestose valdymo srityse veikiančiomis įstaigomis ir įmonėmis)</w:t>
      </w:r>
      <w:r w:rsidR="00D44316">
        <w:rPr>
          <w:szCs w:val="24"/>
          <w:lang w:eastAsia="lt-LT"/>
        </w:rPr>
        <w:t>;</w:t>
      </w:r>
    </w:p>
    <w:p w:rsidR="00B336F0" w:rsidRDefault="00D44316">
      <w:pPr>
        <w:suppressAutoHyphens/>
        <w:spacing w:line="276" w:lineRule="auto"/>
        <w:ind w:firstLine="1296"/>
        <w:jc w:val="both"/>
        <w:textAlignment w:val="baseline"/>
        <w:rPr>
          <w:szCs w:val="24"/>
          <w:lang w:eastAsia="lt-LT"/>
        </w:rPr>
      </w:pPr>
      <w:r>
        <w:rPr>
          <w:szCs w:val="24"/>
          <w:lang w:eastAsia="lt-LT"/>
        </w:rPr>
        <w:t xml:space="preserve">□ </w:t>
      </w:r>
      <w:r>
        <w:rPr>
          <w:color w:val="000000"/>
        </w:rPr>
        <w:t>suderinus teisės akto projektą su suinteresuotomis institucijomis, kai jis buvo papildytas arba pakeistas.</w:t>
      </w:r>
    </w:p>
    <w:p w:rsidR="00B336F0" w:rsidRDefault="00D44316">
      <w:pPr>
        <w:suppressAutoHyphens/>
        <w:spacing w:line="276" w:lineRule="auto"/>
        <w:jc w:val="both"/>
        <w:textAlignment w:val="baseline"/>
        <w:rPr>
          <w:szCs w:val="24"/>
          <w:lang w:eastAsia="lt-LT"/>
        </w:rPr>
      </w:pPr>
      <w:r>
        <w:rPr>
          <w:szCs w:val="24"/>
          <w:lang w:eastAsia="lt-LT"/>
        </w:rPr>
        <w:t>Antikorupciniu požiūriu rizikingos teisės akto projekto nuostatos</w:t>
      </w:r>
      <w:r>
        <w:rPr>
          <w:b/>
          <w:szCs w:val="24"/>
          <w:lang w:eastAsia="lt-LT"/>
        </w:rPr>
        <w:t xml:space="preserve"> </w:t>
      </w:r>
      <w:r>
        <w:rPr>
          <w:i/>
          <w:szCs w:val="24"/>
          <w:lang w:eastAsia="lt-LT"/>
        </w:rPr>
        <w:t>(nurodomas antikorupcinio vertinimo kriterijus (toliau – kriterijus), kurį taikant nustatytai korupcijos rizikai šalinti ar valdyti teisės akto projekte nenumatyta priemonių.</w:t>
      </w:r>
      <w:r>
        <w:rPr>
          <w:i/>
          <w:iCs/>
          <w:color w:val="000000"/>
        </w:rPr>
        <w:t xml:space="preserve"> </w:t>
      </w:r>
      <w:r>
        <w:rPr>
          <w:i/>
          <w:szCs w:val="24"/>
          <w:lang w:eastAsia="lt-LT"/>
        </w:rPr>
        <w:t xml:space="preserve">Pildoma, kai, </w:t>
      </w:r>
      <w:r>
        <w:rPr>
          <w:i/>
          <w:szCs w:val="24"/>
        </w:rPr>
        <w:t xml:space="preserve">vertintojo nuomone, teisės akto projekto tiesioginio rengėjo siūlomų pataisų nepakanka korupcijos atsiradimo rizikai mažinti </w:t>
      </w:r>
      <w:r>
        <w:rPr>
          <w:i/>
          <w:szCs w:val="24"/>
          <w:lang w:eastAsia="lt-LT"/>
        </w:rPr>
        <w:t>arba kai vertintojas nesutinka su teisės akto projekto tiesioginio rengėjo argumentais, kodėl neatsižvelgta į vertintojo pateiktas pastabas</w:t>
      </w:r>
      <w:r>
        <w:rPr>
          <w:szCs w:val="24"/>
          <w:lang w:eastAsia="lt-LT"/>
        </w:rPr>
        <w:t>):</w:t>
      </w:r>
    </w:p>
    <w:p w:rsidR="00B336F0" w:rsidRDefault="00D44316">
      <w:pPr>
        <w:suppressAutoHyphens/>
        <w:spacing w:line="276" w:lineRule="auto"/>
        <w:jc w:val="both"/>
        <w:textAlignment w:val="baseline"/>
      </w:pPr>
      <w:r>
        <w:t>_________________________________________________________________________________________________________________________</w:t>
      </w:r>
    </w:p>
    <w:p w:rsidR="00B336F0" w:rsidRDefault="00D44316">
      <w:pPr>
        <w:suppressAutoHyphens/>
        <w:spacing w:line="276" w:lineRule="auto"/>
        <w:jc w:val="both"/>
        <w:textAlignment w:val="baseline"/>
      </w:pPr>
      <w:r>
        <w:rPr>
          <w:szCs w:val="24"/>
          <w:lang w:eastAsia="lt-LT"/>
        </w:rPr>
        <w:t>_________________________________________________________________________________________________________________________</w:t>
      </w:r>
    </w:p>
    <w:p w:rsidR="00B336F0" w:rsidRDefault="00B336F0">
      <w:pPr>
        <w:suppressAutoHyphens/>
        <w:spacing w:line="276" w:lineRule="auto"/>
        <w:jc w:val="both"/>
        <w:textAlignment w:val="baseline"/>
        <w:rPr>
          <w:szCs w:val="24"/>
          <w:lang w:eastAsia="lt-LT"/>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3"/>
        <w:gridCol w:w="605"/>
        <w:gridCol w:w="1852"/>
        <w:gridCol w:w="1542"/>
        <w:gridCol w:w="3231"/>
        <w:gridCol w:w="728"/>
        <w:gridCol w:w="1706"/>
        <w:gridCol w:w="2112"/>
        <w:gridCol w:w="2697"/>
        <w:gridCol w:w="870"/>
      </w:tblGrid>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6F0" w:rsidRDefault="00D44316">
            <w:pPr>
              <w:suppressAutoHyphens/>
              <w:spacing w:line="276" w:lineRule="auto"/>
              <w:jc w:val="center"/>
              <w:textAlignment w:val="baseline"/>
              <w:rPr>
                <w:szCs w:val="24"/>
                <w:lang w:eastAsia="lt-LT"/>
              </w:rPr>
            </w:pPr>
            <w:r>
              <w:rPr>
                <w:szCs w:val="24"/>
                <w:lang w:eastAsia="lt-LT"/>
              </w:rPr>
              <w:t>Eil. Nr.</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6F0" w:rsidRDefault="00D44316">
            <w:pPr>
              <w:suppressAutoHyphens/>
              <w:spacing w:line="276" w:lineRule="auto"/>
              <w:jc w:val="center"/>
              <w:textAlignment w:val="baseline"/>
              <w:rPr>
                <w:szCs w:val="24"/>
                <w:lang w:eastAsia="lt-LT"/>
              </w:rPr>
            </w:pPr>
            <w:r>
              <w:rPr>
                <w:szCs w:val="24"/>
                <w:lang w:eastAsia="lt-LT"/>
              </w:rPr>
              <w:t>Kriterijus</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6F0" w:rsidRDefault="00D44316">
            <w:pPr>
              <w:suppressAutoHyphens/>
              <w:spacing w:line="276" w:lineRule="auto"/>
              <w:jc w:val="center"/>
              <w:textAlignment w:val="baseline"/>
              <w:rPr>
                <w:szCs w:val="24"/>
                <w:lang w:eastAsia="lt-LT"/>
              </w:rPr>
            </w:pPr>
            <w:r>
              <w:rPr>
                <w:bCs/>
              </w:rPr>
              <w:t xml:space="preserve">Kriterijaus vertinimas (nurodant, kad „Kriterijų atitinka“ / „Kriterijaus neatitinka“ / „Kriterijus nėra teisės akto projekto reglamentavimo dalykas“) ir pagrindimas, jeigu teisės aktas neatitinka kriterijaus (nurodomos konkrečios teisės akto projekto ar kitų teisės aktų nuostatos, pagrindžiančios neigiamą atsakymą, </w:t>
            </w:r>
            <w:r>
              <w:rPr>
                <w:bCs/>
              </w:rPr>
              <w:lastRenderedPageBreak/>
              <w:t xml:space="preserve">pateikiamos antikorupcinį teisės akto projekto vertinimą atliekančio asmens pastabos ir pasiūlymai dėl korupcijos rizikos mažinimo) </w:t>
            </w:r>
          </w:p>
          <w:p w:rsidR="00B336F0" w:rsidRDefault="00D44316">
            <w:pPr>
              <w:suppressAutoHyphens/>
              <w:spacing w:line="276" w:lineRule="auto"/>
              <w:jc w:val="center"/>
              <w:textAlignment w:val="baseline"/>
            </w:pPr>
            <w:r>
              <w:rPr>
                <w:szCs w:val="24"/>
                <w:lang w:eastAsia="lt-LT"/>
              </w:rPr>
              <w:t>(</w:t>
            </w:r>
            <w:r>
              <w:rPr>
                <w:i/>
                <w:szCs w:val="24"/>
                <w:lang w:eastAsia="lt-LT"/>
              </w:rPr>
              <w:t>pildo teisės akto projekto antikorupcinį vertinimą atliekantis asmuo)</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336F0" w:rsidRDefault="00B336F0">
            <w:pPr>
              <w:suppressAutoHyphens/>
              <w:spacing w:line="276" w:lineRule="auto"/>
              <w:jc w:val="center"/>
              <w:textAlignment w:val="baseline"/>
              <w:rPr>
                <w:szCs w:val="24"/>
                <w:lang w:eastAsia="lt-LT"/>
              </w:rPr>
            </w:pPr>
          </w:p>
          <w:p w:rsidR="00B336F0" w:rsidRDefault="00D44316">
            <w:pPr>
              <w:suppressAutoHyphens/>
              <w:spacing w:line="276" w:lineRule="auto"/>
              <w:jc w:val="center"/>
              <w:textAlignment w:val="baseline"/>
              <w:rPr>
                <w:szCs w:val="24"/>
                <w:lang w:eastAsia="lt-LT"/>
              </w:rPr>
            </w:pPr>
            <w:r>
              <w:rPr>
                <w:szCs w:val="24"/>
                <w:lang w:eastAsia="lt-LT"/>
              </w:rPr>
              <w:t>Teisės akto projekto pakeitimas, mažinantis korupcijos riziką, arba teisės akto projekto tiesioginio rengėjo argumentai, kodėl neatsižvelgta į pastabą</w:t>
            </w:r>
          </w:p>
          <w:p w:rsidR="00B336F0" w:rsidRDefault="00D44316">
            <w:pPr>
              <w:suppressAutoHyphens/>
              <w:spacing w:line="276" w:lineRule="auto"/>
              <w:jc w:val="center"/>
              <w:textAlignment w:val="baseline"/>
              <w:rPr>
                <w:szCs w:val="24"/>
                <w:lang w:eastAsia="lt-LT"/>
              </w:rPr>
            </w:pPr>
            <w:r>
              <w:rPr>
                <w:szCs w:val="24"/>
                <w:lang w:eastAsia="lt-LT"/>
              </w:rPr>
              <w:t>(</w:t>
            </w:r>
            <w:r>
              <w:rPr>
                <w:i/>
                <w:szCs w:val="24"/>
                <w:lang w:eastAsia="lt-LT"/>
              </w:rPr>
              <w:t>pildo teisės akto projekto tiesioginis rengėjas)</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6F0" w:rsidRDefault="00D44316">
            <w:pPr>
              <w:suppressAutoHyphens/>
              <w:spacing w:line="276" w:lineRule="auto"/>
              <w:jc w:val="center"/>
              <w:textAlignment w:val="baseline"/>
              <w:rPr>
                <w:szCs w:val="24"/>
                <w:lang w:eastAsia="lt-LT"/>
              </w:rPr>
            </w:pPr>
            <w:r>
              <w:rPr>
                <w:szCs w:val="24"/>
                <w:lang w:eastAsia="lt-LT"/>
              </w:rPr>
              <w:t>Išvada dėl teisės akto projekto pakeitimų arba argumentų, kodėl neatsižvelgta į pastabą</w:t>
            </w:r>
          </w:p>
          <w:p w:rsidR="00B336F0" w:rsidRDefault="00D44316">
            <w:pPr>
              <w:suppressAutoHyphens/>
              <w:spacing w:line="276" w:lineRule="auto"/>
              <w:jc w:val="center"/>
              <w:textAlignment w:val="baseline"/>
              <w:rPr>
                <w:szCs w:val="24"/>
                <w:lang w:eastAsia="lt-LT"/>
              </w:rPr>
            </w:pPr>
            <w:r>
              <w:rPr>
                <w:szCs w:val="24"/>
                <w:lang w:eastAsia="lt-LT"/>
              </w:rPr>
              <w:t>(</w:t>
            </w:r>
            <w:r>
              <w:rPr>
                <w:i/>
                <w:szCs w:val="24"/>
                <w:lang w:eastAsia="lt-LT"/>
              </w:rPr>
              <w:t>pildo teisės akto projekto antikorupcinį vertinimą atliekantis asmuo)</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1.</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Teisės akto projektas nesudaro išskirtinių ar nevienodų sąlygų subjektams, su kuriais susijęs teisės akto įgyvendinimas</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Pr="00DF788C" w:rsidRDefault="00DF788C">
            <w:pPr>
              <w:suppressAutoHyphens/>
              <w:spacing w:line="276" w:lineRule="auto"/>
              <w:textAlignment w:val="baseline"/>
              <w:rPr>
                <w:szCs w:val="24"/>
                <w:lang w:eastAsia="lt-LT"/>
              </w:rPr>
            </w:pPr>
            <w:r w:rsidRPr="00DF788C">
              <w:rPr>
                <w:szCs w:val="24"/>
                <w:lang w:eastAsia="lt-LT"/>
              </w:rPr>
              <w:t>Nesudaro</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b/>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keepNext/>
              <w:suppressAutoHyphens/>
              <w:spacing w:line="276" w:lineRule="auto"/>
              <w:jc w:val="center"/>
              <w:textAlignment w:val="baseline"/>
              <w:rPr>
                <w:szCs w:val="24"/>
                <w:lang w:eastAsia="lt-LT"/>
              </w:rPr>
            </w:pPr>
            <w:r>
              <w:rPr>
                <w:szCs w:val="24"/>
                <w:lang w:eastAsia="lt-LT"/>
              </w:rPr>
              <w:t>2.</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keepNext/>
              <w:suppressAutoHyphens/>
              <w:spacing w:line="276" w:lineRule="auto"/>
              <w:textAlignment w:val="baseline"/>
              <w:rPr>
                <w:szCs w:val="24"/>
                <w:lang w:eastAsia="lt-LT"/>
              </w:rPr>
            </w:pPr>
            <w:r>
              <w:rPr>
                <w:szCs w:val="24"/>
                <w:lang w:eastAsia="lt-LT"/>
              </w:rPr>
              <w:t>Teisės akto projekte nėra spragų ar nuostatų, leisiančių dviprasmiškai aiškinti ir taikyti teisės aktą</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DF788C">
            <w:pPr>
              <w:keepNext/>
              <w:suppressAutoHyphens/>
              <w:spacing w:line="276" w:lineRule="auto"/>
              <w:textAlignment w:val="baseline"/>
              <w:rPr>
                <w:szCs w:val="24"/>
                <w:lang w:eastAsia="lt-LT"/>
              </w:rPr>
            </w:pPr>
            <w:r>
              <w:rPr>
                <w:szCs w:val="24"/>
                <w:lang w:eastAsia="lt-LT"/>
              </w:rPr>
              <w:t>Nenustatyta</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keepNext/>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keepNext/>
              <w:suppressAutoHyphens/>
              <w:spacing w:line="276" w:lineRule="auto"/>
              <w:textAlignment w:val="baseline"/>
              <w:rPr>
                <w:szCs w:val="24"/>
                <w:lang w:eastAsia="lt-LT"/>
              </w:rPr>
            </w:pPr>
            <w:r>
              <w:rPr>
                <w:szCs w:val="24"/>
                <w:lang w:eastAsia="lt-LT"/>
              </w:rPr>
              <w:t>□ tenkina</w:t>
            </w:r>
          </w:p>
          <w:p w:rsidR="00B336F0" w:rsidRDefault="00D44316">
            <w:pPr>
              <w:keepNext/>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3.</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Teisės akto projekte nustatyta, kad sprendimą dėl teisių suteikimo, apribojimų nustatymo, sankcijų taikymo ir pan. priimantis subjektas atskirtas nuo šių sprendimų teisėtumą ir įgyvendinimą kontroliuojančio (prižiūrinčio) subjekto</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F5D" w:rsidRDefault="00297F5D">
            <w:pPr>
              <w:suppressAutoHyphens/>
              <w:spacing w:line="276" w:lineRule="auto"/>
              <w:textAlignment w:val="baseline"/>
              <w:rPr>
                <w:szCs w:val="24"/>
                <w:lang w:eastAsia="lt-LT"/>
              </w:rPr>
            </w:pPr>
            <w:r>
              <w:rPr>
                <w:szCs w:val="24"/>
                <w:lang w:eastAsia="lt-LT"/>
              </w:rPr>
              <w:t>Tvarkos aprašo 5 p. numatyta, kad sprendimą dėl Savivaldybės turto perdavimo patikėjimo teise priima Savivaldybės taryba, o patikėjimo teise perduoto turto naudojimo, patikėjimo sutarties sąlygų vykdymo kontrolę vykdo Savivaldybės turtą perdavęs (</w:t>
            </w:r>
            <w:r w:rsidR="00AF7DD3">
              <w:rPr>
                <w:szCs w:val="24"/>
                <w:lang w:eastAsia="lt-LT"/>
              </w:rPr>
              <w:t>sutartį</w:t>
            </w:r>
            <w:r>
              <w:rPr>
                <w:szCs w:val="24"/>
                <w:lang w:eastAsia="lt-LT"/>
              </w:rPr>
              <w:t xml:space="preserve"> sudaręs) subjektas (kai turtą perduoda Savivaldybės administracija, - seniūnai ar jų įgalioti asmenys (Tvarkos aprašo 16 p.)</w:t>
            </w:r>
          </w:p>
          <w:p w:rsidR="00B336F0" w:rsidRDefault="00B336F0">
            <w:pPr>
              <w:suppressAutoHyphens/>
              <w:spacing w:line="276" w:lineRule="auto"/>
              <w:textAlignment w:val="baseline"/>
              <w:rPr>
                <w:szCs w:val="24"/>
                <w:lang w:eastAsia="lt-LT"/>
              </w:rPr>
            </w:pPr>
          </w:p>
          <w:p w:rsidR="00B336F0" w:rsidRDefault="00B336F0">
            <w:pPr>
              <w:suppressAutoHyphens/>
              <w:textAlignment w:val="baseline"/>
              <w:rPr>
                <w:szCs w:val="24"/>
                <w:lang w:eastAsia="lt-LT"/>
              </w:rPr>
            </w:pPr>
          </w:p>
          <w:p w:rsidR="00B336F0" w:rsidRDefault="00B336F0">
            <w:pPr>
              <w:suppressAutoHyphens/>
              <w:textAlignment w:val="baseline"/>
              <w:rPr>
                <w:szCs w:val="24"/>
                <w:lang w:eastAsia="lt-LT"/>
              </w:rPr>
            </w:pPr>
          </w:p>
          <w:p w:rsidR="00B336F0" w:rsidRDefault="00B336F0">
            <w:pPr>
              <w:suppressAutoHyphens/>
              <w:ind w:firstLine="1296"/>
              <w:textAlignment w:val="baseline"/>
              <w:rPr>
                <w:szCs w:val="24"/>
                <w:lang w:eastAsia="lt-LT"/>
              </w:rPr>
            </w:pP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4.</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Teisės akto projekte nustatyti subjekto įgaliojimai (teisės) atitinka subjekto atliekamas funkcijas (pareigas)</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AF7DD3">
            <w:pPr>
              <w:suppressAutoHyphens/>
              <w:spacing w:line="276" w:lineRule="auto"/>
              <w:textAlignment w:val="baseline"/>
              <w:rPr>
                <w:szCs w:val="24"/>
                <w:lang w:eastAsia="lt-LT"/>
              </w:rPr>
            </w:pPr>
            <w:r>
              <w:rPr>
                <w:szCs w:val="24"/>
                <w:lang w:eastAsia="lt-LT"/>
              </w:rPr>
              <w:t>Atitinka</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5.</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Teisės akto projekte nustatytas baigtinis sprendimų priėmimo kriterijų (atvejų) sąrašas</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4C16CE" w:rsidP="004C16CE">
            <w:pPr>
              <w:suppressAutoHyphens/>
              <w:spacing w:line="276" w:lineRule="auto"/>
              <w:textAlignment w:val="baseline"/>
              <w:rPr>
                <w:szCs w:val="24"/>
                <w:lang w:eastAsia="lt-LT"/>
              </w:rPr>
            </w:pPr>
            <w:r>
              <w:rPr>
                <w:szCs w:val="24"/>
                <w:lang w:eastAsia="lt-LT"/>
              </w:rPr>
              <w:t>Iš dalies aptarta Tvarkos aprašo 4 p.</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6.</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highlight w:val="yellow"/>
                <w:lang w:eastAsia="lt-LT"/>
              </w:rPr>
            </w:pPr>
            <w:r>
              <w:rPr>
                <w:szCs w:val="24"/>
                <w:lang w:eastAsia="lt-LT"/>
              </w:rPr>
              <w:t>Teisės akto projekte nustatytas baigtinis motyvuotų atvejų, kai priimant sprendimus taikomos išimtys, sąrašas</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E531FF">
            <w:pPr>
              <w:suppressAutoHyphens/>
              <w:spacing w:line="276" w:lineRule="auto"/>
              <w:textAlignment w:val="baseline"/>
              <w:rPr>
                <w:szCs w:val="24"/>
                <w:lang w:eastAsia="lt-LT"/>
              </w:rPr>
            </w:pPr>
            <w:r>
              <w:rPr>
                <w:szCs w:val="24"/>
                <w:lang w:eastAsia="lt-LT"/>
              </w:rPr>
              <w:t>Išimčių taikymas nenumatytas</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7.</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xml:space="preserve">Teisės akto projekte nustatyta sprendimų priėmimo, įforminimo ir viešinimo tvarka </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AF7DD3" w:rsidP="004C16CE">
            <w:pPr>
              <w:suppressAutoHyphens/>
              <w:spacing w:line="276" w:lineRule="auto"/>
              <w:textAlignment w:val="baseline"/>
              <w:rPr>
                <w:szCs w:val="24"/>
                <w:lang w:eastAsia="lt-LT"/>
              </w:rPr>
            </w:pPr>
            <w:r>
              <w:rPr>
                <w:szCs w:val="24"/>
                <w:lang w:eastAsia="lt-LT"/>
              </w:rPr>
              <w:t xml:space="preserve">Sprendimų įforminimas </w:t>
            </w:r>
            <w:r w:rsidR="006E0000">
              <w:rPr>
                <w:szCs w:val="24"/>
                <w:lang w:eastAsia="lt-LT"/>
              </w:rPr>
              <w:t xml:space="preserve">aptarta </w:t>
            </w:r>
            <w:r>
              <w:rPr>
                <w:szCs w:val="24"/>
                <w:lang w:eastAsia="lt-LT"/>
              </w:rPr>
              <w:t xml:space="preserve">Tvarkos aprašo </w:t>
            </w:r>
            <w:r w:rsidR="004C16CE">
              <w:rPr>
                <w:szCs w:val="24"/>
                <w:lang w:eastAsia="lt-LT"/>
              </w:rPr>
              <w:t xml:space="preserve">9 ir </w:t>
            </w:r>
            <w:r w:rsidR="006E0000">
              <w:rPr>
                <w:szCs w:val="24"/>
                <w:lang w:eastAsia="lt-LT"/>
              </w:rPr>
              <w:t xml:space="preserve">10 p. </w:t>
            </w:r>
            <w:r w:rsidR="004C16CE">
              <w:rPr>
                <w:szCs w:val="24"/>
                <w:lang w:eastAsia="lt-LT"/>
              </w:rPr>
              <w:t>bei</w:t>
            </w:r>
            <w:r w:rsidR="006E0000">
              <w:rPr>
                <w:szCs w:val="24"/>
                <w:lang w:eastAsia="lt-LT"/>
              </w:rPr>
              <w:t xml:space="preserve"> </w:t>
            </w:r>
            <w:r>
              <w:rPr>
                <w:szCs w:val="24"/>
                <w:lang w:eastAsia="lt-LT"/>
              </w:rPr>
              <w:t>IV skyriuje, viešinimas numatytas Tvarkos aprašo 26 p.</w:t>
            </w:r>
            <w:r w:rsidR="00E531FF">
              <w:rPr>
                <w:szCs w:val="24"/>
                <w:lang w:eastAsia="lt-LT"/>
              </w:rPr>
              <w:t xml:space="preserve"> </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jc w:val="center"/>
              <w:textAlignment w:val="baseline"/>
            </w:pPr>
            <w:r>
              <w:t>8.</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textAlignment w:val="baseline"/>
            </w:pPr>
            <w:r>
              <w:t xml:space="preserve">Teisės akto projekte nustatyti sprendimų dėl mažareikšmiškumo kriterijai ir priėmimo tvarka </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Pr="00E531FF" w:rsidRDefault="00E531FF">
            <w:pPr>
              <w:suppressAutoHyphens/>
              <w:spacing w:line="276" w:lineRule="auto"/>
              <w:textAlignment w:val="baseline"/>
              <w:rPr>
                <w:szCs w:val="24"/>
                <w:lang w:eastAsia="lt-LT"/>
              </w:rPr>
            </w:pPr>
            <w:r w:rsidRPr="00E531FF">
              <w:rPr>
                <w:szCs w:val="24"/>
                <w:lang w:eastAsia="lt-LT"/>
              </w:rPr>
              <w:t>Neaktualu</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b/>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9.</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Jeigu pagal numatomą reguliavimą sprendimus priima kolegialus subjektas, teisės akto projekte nustatyta kolegialaus sprendimus priimančio subjekto:</w:t>
            </w:r>
          </w:p>
          <w:p w:rsidR="00B336F0" w:rsidRDefault="00D44316">
            <w:pPr>
              <w:suppressAutoHyphens/>
              <w:spacing w:line="276" w:lineRule="auto"/>
              <w:ind w:left="33"/>
              <w:textAlignment w:val="baseline"/>
              <w:rPr>
                <w:szCs w:val="24"/>
              </w:rPr>
            </w:pPr>
            <w:r>
              <w:rPr>
                <w:szCs w:val="24"/>
              </w:rPr>
              <w:t xml:space="preserve">9.1. konkretus narių skaičius, užtikrinantis kolegialaus </w:t>
            </w:r>
            <w:r>
              <w:rPr>
                <w:szCs w:val="24"/>
              </w:rPr>
              <w:lastRenderedPageBreak/>
              <w:t>sprendimus priimančio subjekto veiklos objektyvumą</w:t>
            </w:r>
          </w:p>
          <w:p w:rsidR="00B336F0" w:rsidRDefault="00D44316">
            <w:pPr>
              <w:suppressAutoHyphens/>
              <w:spacing w:line="276" w:lineRule="auto"/>
              <w:ind w:left="33"/>
              <w:textAlignment w:val="baseline"/>
              <w:rPr>
                <w:szCs w:val="24"/>
              </w:rPr>
            </w:pPr>
            <w:r>
              <w:rPr>
                <w:szCs w:val="24"/>
              </w:rPr>
              <w:t>9.2. jeigu narius skiria keli subjektai, proporcinga kiekvieno subjekto skiriamų narių dalis, užtikrinanti tinkamą atstovavimą valstybės interesams ir kolegialaus sprendimus priimančio subjekto veiklos objektyvumą ir skaidrumą</w:t>
            </w:r>
          </w:p>
          <w:p w:rsidR="00B336F0" w:rsidRDefault="00D44316">
            <w:pPr>
              <w:suppressAutoHyphens/>
              <w:spacing w:line="276" w:lineRule="auto"/>
              <w:textAlignment w:val="baseline"/>
            </w:pPr>
            <w:r>
              <w:rPr>
                <w:szCs w:val="24"/>
                <w:lang w:eastAsia="lt-LT"/>
              </w:rPr>
              <w:t>9.3</w:t>
            </w:r>
            <w:r>
              <w:rPr>
                <w:spacing w:val="-4"/>
                <w:szCs w:val="24"/>
                <w:lang w:eastAsia="lt-LT"/>
              </w:rPr>
              <w:t>. narių skyrimo mechanizmas</w:t>
            </w:r>
          </w:p>
          <w:p w:rsidR="00B336F0" w:rsidRDefault="00D44316">
            <w:pPr>
              <w:suppressAutoHyphens/>
              <w:spacing w:line="276" w:lineRule="auto"/>
              <w:textAlignment w:val="baseline"/>
              <w:rPr>
                <w:szCs w:val="24"/>
                <w:lang w:eastAsia="lt-LT"/>
              </w:rPr>
            </w:pPr>
            <w:r>
              <w:rPr>
                <w:szCs w:val="24"/>
                <w:lang w:eastAsia="lt-LT"/>
              </w:rPr>
              <w:t>9.4. narių rotacija ir kadencijų skaičius ir trukmė</w:t>
            </w:r>
          </w:p>
          <w:p w:rsidR="00B336F0" w:rsidRDefault="00D44316">
            <w:pPr>
              <w:suppressAutoHyphens/>
              <w:spacing w:line="276" w:lineRule="auto"/>
              <w:textAlignment w:val="baseline"/>
              <w:rPr>
                <w:szCs w:val="24"/>
              </w:rPr>
            </w:pPr>
            <w:r>
              <w:rPr>
                <w:szCs w:val="24"/>
              </w:rPr>
              <w:t>9.5. veiklos pobūdis laiko atžvilgiu</w:t>
            </w:r>
          </w:p>
          <w:p w:rsidR="00B336F0" w:rsidRDefault="00D44316">
            <w:pPr>
              <w:suppressAutoHyphens/>
              <w:spacing w:line="276" w:lineRule="auto"/>
              <w:textAlignment w:val="baseline"/>
              <w:rPr>
                <w:szCs w:val="24"/>
                <w:lang w:eastAsia="lt-LT"/>
              </w:rPr>
            </w:pPr>
            <w:r>
              <w:rPr>
                <w:szCs w:val="24"/>
                <w:lang w:eastAsia="lt-LT"/>
              </w:rPr>
              <w:t>9.6. asmeninė narių atsakomybė</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Pr="00E531FF" w:rsidRDefault="00E531FF">
            <w:pPr>
              <w:suppressAutoHyphens/>
              <w:spacing w:line="276" w:lineRule="auto"/>
              <w:textAlignment w:val="baseline"/>
              <w:rPr>
                <w:szCs w:val="24"/>
                <w:lang w:eastAsia="lt-LT"/>
              </w:rPr>
            </w:pPr>
            <w:r w:rsidRPr="00E531FF">
              <w:rPr>
                <w:szCs w:val="24"/>
                <w:lang w:eastAsia="lt-LT"/>
              </w:rPr>
              <w:lastRenderedPageBreak/>
              <w:t>Neaktualu</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10.</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pPr>
            <w:r>
              <w:rPr>
                <w:szCs w:val="24"/>
                <w:lang w:eastAsia="lt-LT"/>
              </w:rPr>
              <w:t xml:space="preserve">Numatytos procedūros yra </w:t>
            </w:r>
            <w:r>
              <w:rPr>
                <w:szCs w:val="24"/>
                <w:shd w:val="clear" w:color="auto" w:fill="FFFFFF"/>
                <w:lang w:eastAsia="lt-LT"/>
              </w:rPr>
              <w:t>būtinos,</w:t>
            </w:r>
            <w:r>
              <w:rPr>
                <w:szCs w:val="24"/>
                <w:lang w:eastAsia="lt-LT"/>
              </w:rPr>
              <w:t xml:space="preserve"> nustatyta išsami jų taikymo (viešinimo) tvarka </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AF7DD3" w:rsidP="00AF7DD3">
            <w:pPr>
              <w:suppressAutoHyphens/>
              <w:spacing w:line="276" w:lineRule="auto"/>
              <w:textAlignment w:val="baseline"/>
              <w:rPr>
                <w:szCs w:val="24"/>
                <w:lang w:eastAsia="lt-LT"/>
              </w:rPr>
            </w:pPr>
            <w:r>
              <w:rPr>
                <w:szCs w:val="24"/>
                <w:lang w:eastAsia="lt-LT"/>
              </w:rPr>
              <w:t>Numatytos</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keepNext/>
              <w:suppressAutoHyphens/>
              <w:spacing w:line="276" w:lineRule="auto"/>
              <w:jc w:val="center"/>
              <w:textAlignment w:val="baseline"/>
              <w:rPr>
                <w:szCs w:val="24"/>
                <w:lang w:eastAsia="lt-LT"/>
              </w:rPr>
            </w:pPr>
            <w:r>
              <w:rPr>
                <w:szCs w:val="24"/>
                <w:lang w:eastAsia="lt-LT"/>
              </w:rPr>
              <w:t>11.</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keepNext/>
              <w:suppressAutoHyphens/>
              <w:spacing w:line="276" w:lineRule="auto"/>
              <w:textAlignment w:val="baseline"/>
            </w:pPr>
            <w:r>
              <w:rPr>
                <w:szCs w:val="24"/>
                <w:lang w:eastAsia="lt-LT"/>
              </w:rPr>
              <w:t>Teisės akto projekte nustatytas baigtinis motyvuotų atvejų, kai nustatoma procedūra netaikoma, sąrašas</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E33466">
            <w:pPr>
              <w:keepNext/>
              <w:suppressAutoHyphens/>
              <w:spacing w:line="276" w:lineRule="auto"/>
              <w:textAlignment w:val="baseline"/>
              <w:rPr>
                <w:szCs w:val="24"/>
                <w:lang w:eastAsia="lt-LT"/>
              </w:rPr>
            </w:pPr>
            <w:r>
              <w:rPr>
                <w:szCs w:val="24"/>
                <w:lang w:eastAsia="lt-LT"/>
              </w:rPr>
              <w:t>Neaktualu</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keepNext/>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keepNext/>
              <w:suppressAutoHyphens/>
              <w:spacing w:line="276" w:lineRule="auto"/>
              <w:textAlignment w:val="baseline"/>
              <w:rPr>
                <w:szCs w:val="24"/>
                <w:lang w:eastAsia="lt-LT"/>
              </w:rPr>
            </w:pPr>
            <w:r>
              <w:rPr>
                <w:szCs w:val="24"/>
                <w:lang w:eastAsia="lt-LT"/>
              </w:rPr>
              <w:t>□ tenkina</w:t>
            </w:r>
          </w:p>
          <w:p w:rsidR="00B336F0" w:rsidRDefault="00D44316">
            <w:pPr>
              <w:keepNext/>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12.</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pPr>
            <w:r>
              <w:rPr>
                <w:szCs w:val="24"/>
                <w:lang w:eastAsia="lt-LT"/>
              </w:rPr>
              <w:t xml:space="preserve">Teisės akto projektas nustato jo nuostatoms įgyvendinti numatytų procedūrų ir </w:t>
            </w:r>
            <w:r>
              <w:rPr>
                <w:szCs w:val="24"/>
                <w:lang w:eastAsia="lt-LT"/>
              </w:rPr>
              <w:lastRenderedPageBreak/>
              <w:t>sprendimų priėmimo konkrečius terminus</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3466" w:rsidRDefault="00E33466" w:rsidP="00AF7DD3">
            <w:pPr>
              <w:suppressAutoHyphens/>
              <w:spacing w:line="276" w:lineRule="auto"/>
              <w:textAlignment w:val="baseline"/>
              <w:rPr>
                <w:szCs w:val="24"/>
                <w:lang w:eastAsia="lt-LT"/>
              </w:rPr>
            </w:pPr>
            <w:r>
              <w:rPr>
                <w:szCs w:val="24"/>
                <w:lang w:eastAsia="lt-LT"/>
              </w:rPr>
              <w:lastRenderedPageBreak/>
              <w:t xml:space="preserve">Konkretūs terminai numatyti </w:t>
            </w:r>
            <w:r w:rsidR="00AF7DD3">
              <w:rPr>
                <w:szCs w:val="24"/>
                <w:lang w:eastAsia="lt-LT"/>
              </w:rPr>
              <w:t>Tva</w:t>
            </w:r>
            <w:r w:rsidR="004C16CE">
              <w:rPr>
                <w:szCs w:val="24"/>
                <w:lang w:eastAsia="lt-LT"/>
              </w:rPr>
              <w:t xml:space="preserve">rkos aprašo 9, 12–14, 17–19, 26 p., </w:t>
            </w:r>
            <w:r w:rsidR="00524898">
              <w:rPr>
                <w:szCs w:val="24"/>
                <w:lang w:eastAsia="lt-LT"/>
              </w:rPr>
              <w:t xml:space="preserve">taip pat </w:t>
            </w:r>
            <w:r w:rsidR="00AF7DD3">
              <w:rPr>
                <w:szCs w:val="24"/>
                <w:lang w:eastAsia="lt-LT"/>
              </w:rPr>
              <w:t xml:space="preserve">21.5 p. p. </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13.</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Teisės akto projektas nustato motyvuotas terminų sustabdymo ir pratęsimo galimybes</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E33466">
            <w:pPr>
              <w:suppressAutoHyphens/>
              <w:spacing w:line="276" w:lineRule="auto"/>
              <w:textAlignment w:val="baseline"/>
              <w:rPr>
                <w:szCs w:val="24"/>
                <w:lang w:eastAsia="lt-LT"/>
              </w:rPr>
            </w:pPr>
            <w:r>
              <w:rPr>
                <w:szCs w:val="24"/>
                <w:lang w:eastAsia="lt-LT"/>
              </w:rPr>
              <w:t>Neaktualu</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14.</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trike/>
              </w:rPr>
            </w:pPr>
            <w:r>
              <w:rPr>
                <w:szCs w:val="24"/>
                <w:lang w:eastAsia="lt-LT"/>
              </w:rPr>
              <w:t>Teisės akto projektas nustato kontrolės (priežiūros) procedūrą ir aiškius jos atlikimo kriterijus (atvejus, dažnį, fiksavimą, kontrolės rezultatų viešinimą ir pan.)</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Pr="00E33466" w:rsidRDefault="00AF7DD3" w:rsidP="009E5B7B">
            <w:pPr>
              <w:suppressAutoHyphens/>
              <w:spacing w:line="276" w:lineRule="auto"/>
              <w:textAlignment w:val="baseline"/>
              <w:rPr>
                <w:szCs w:val="24"/>
                <w:lang w:eastAsia="lt-LT"/>
              </w:rPr>
            </w:pPr>
            <w:r>
              <w:rPr>
                <w:szCs w:val="24"/>
                <w:lang w:eastAsia="lt-LT"/>
              </w:rPr>
              <w:t xml:space="preserve">Dėl kontrolės žiūrėti į lentelės 3 eilutę, </w:t>
            </w:r>
            <w:r w:rsidR="009E5B7B">
              <w:rPr>
                <w:szCs w:val="24"/>
                <w:lang w:eastAsia="lt-LT"/>
              </w:rPr>
              <w:t xml:space="preserve">taip pat Savivaldybei nuosavybės teise priklausančio turto valdymo kontrolę vykdo Savivaldybės kontrolės ir audito tarnyba pagal kitus teisės aktus. </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b/>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15.</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Teisės akto projekte nustatytos kontrolės (priežiūros) skaidrumo ir objektyvumo užtikrinimo priemonės (p</w:t>
            </w:r>
            <w:r>
              <w:rPr>
                <w:szCs w:val="24"/>
              </w:rPr>
              <w:t>vz., aiškiai ir išsamiai išdėstytos kontroliuojančio subjekto teisės ir pareigos, nustatyta standartizuota kontrolės atlikimo procedūra, reikalavimas fiksuoti atskirus kontrolės procedūros etapus ir jų rezultatus, atsakingų specialistų rotacija, užkirstas kelias kontroliuojančio ir kontroliuojamo subjektų tiesioginiam kontaktui be liudininkų ir pan.)</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E33466">
            <w:pPr>
              <w:suppressAutoHyphens/>
              <w:spacing w:line="276" w:lineRule="auto"/>
              <w:textAlignment w:val="baseline"/>
              <w:rPr>
                <w:szCs w:val="24"/>
                <w:lang w:eastAsia="lt-LT"/>
              </w:rPr>
            </w:pPr>
            <w:r>
              <w:rPr>
                <w:szCs w:val="24"/>
                <w:lang w:eastAsia="lt-LT"/>
              </w:rPr>
              <w:t>Neaktualu</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lastRenderedPageBreak/>
              <w:t>16.</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rPr>
            </w:pPr>
            <w:r>
              <w:rPr>
                <w:szCs w:val="24"/>
                <w:lang w:eastAsia="lt-LT"/>
              </w:rPr>
              <w:t>Teisės akto projekte nustatyta subjektų, su kuriais susijęs teisės akto projekto nuostatų įgyvendinimas, atsakomybė</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E33466">
            <w:pPr>
              <w:suppressAutoHyphens/>
              <w:spacing w:line="276" w:lineRule="auto"/>
              <w:textAlignment w:val="baseline"/>
              <w:rPr>
                <w:szCs w:val="24"/>
                <w:lang w:eastAsia="lt-LT"/>
              </w:rPr>
            </w:pPr>
            <w:r>
              <w:rPr>
                <w:szCs w:val="24"/>
                <w:lang w:eastAsia="lt-LT"/>
              </w:rPr>
              <w:t>Neaktualu</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keepNext/>
              <w:suppressAutoHyphens/>
              <w:spacing w:line="276" w:lineRule="auto"/>
              <w:jc w:val="center"/>
              <w:textAlignment w:val="baseline"/>
              <w:rPr>
                <w:szCs w:val="24"/>
                <w:lang w:eastAsia="lt-LT"/>
              </w:rPr>
            </w:pPr>
            <w:r>
              <w:rPr>
                <w:szCs w:val="24"/>
                <w:lang w:eastAsia="lt-LT"/>
              </w:rPr>
              <w:t>17.</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keepNext/>
              <w:suppressAutoHyphens/>
              <w:spacing w:line="276" w:lineRule="auto"/>
              <w:textAlignment w:val="baseline"/>
              <w:rPr>
                <w:szCs w:val="24"/>
                <w:lang w:eastAsia="lt-LT"/>
              </w:rPr>
            </w:pPr>
            <w:r>
              <w:rPr>
                <w:szCs w:val="24"/>
                <w:lang w:eastAsia="lt-LT"/>
              </w:rPr>
              <w:t>Teisės aktų projekte numatytas baigtinis kriterijų, pagal kuriuos skiriama nuobauda (sankcija) už teisės akto projekte nustatytų nurodymų nevykdymą, sąrašas ir nustatyta aiški nuobaudos (sankcijos) skyrimo procedūra</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Pr="00E33466" w:rsidRDefault="006E0000" w:rsidP="006E0000">
            <w:pPr>
              <w:keepNext/>
              <w:suppressAutoHyphens/>
              <w:spacing w:line="276" w:lineRule="auto"/>
              <w:textAlignment w:val="baseline"/>
              <w:rPr>
                <w:szCs w:val="24"/>
                <w:lang w:eastAsia="lt-LT"/>
              </w:rPr>
            </w:pPr>
            <w:r>
              <w:rPr>
                <w:szCs w:val="24"/>
                <w:lang w:eastAsia="lt-LT"/>
              </w:rPr>
              <w:t xml:space="preserve">Aptarta </w:t>
            </w:r>
            <w:r w:rsidR="009E5B7B">
              <w:rPr>
                <w:szCs w:val="24"/>
                <w:lang w:eastAsia="lt-LT"/>
              </w:rPr>
              <w:t xml:space="preserve">Tvarkos aprašo 22 p. </w:t>
            </w:r>
            <w:r w:rsidR="009171D3">
              <w:rPr>
                <w:szCs w:val="24"/>
                <w:lang w:eastAsia="lt-LT"/>
              </w:rPr>
              <w:t>bei Tvarkos aprašo 3 priede (Patikėjimo sutarties pavyzdinėje formoje)</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keepNext/>
              <w:suppressAutoHyphens/>
              <w:spacing w:line="276" w:lineRule="auto"/>
              <w:textAlignment w:val="baseline"/>
              <w:rPr>
                <w:b/>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keepNext/>
              <w:suppressAutoHyphens/>
              <w:spacing w:line="276" w:lineRule="auto"/>
              <w:textAlignment w:val="baseline"/>
              <w:rPr>
                <w:szCs w:val="24"/>
                <w:lang w:eastAsia="lt-LT"/>
              </w:rPr>
            </w:pPr>
            <w:r>
              <w:rPr>
                <w:szCs w:val="24"/>
                <w:lang w:eastAsia="lt-LT"/>
              </w:rPr>
              <w:t>□ tenkina</w:t>
            </w:r>
          </w:p>
          <w:p w:rsidR="00B336F0" w:rsidRDefault="00D44316">
            <w:pPr>
              <w:keepNext/>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18.</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t>Kartu su teisės akto projektu pateikta pakankamai jį pagrindžiančių lydim</w:t>
            </w:r>
            <w:r w:rsidR="00E33466">
              <w:t xml:space="preserve">ųjų dokumentų ir informacijos, </w:t>
            </w:r>
            <w:r>
              <w:t>siekiant antikorupciniu aspektu įvertinti teisės akto projektą</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E33466">
            <w:pPr>
              <w:suppressAutoHyphens/>
              <w:spacing w:line="276" w:lineRule="auto"/>
              <w:textAlignment w:val="baseline"/>
              <w:rPr>
                <w:szCs w:val="24"/>
                <w:lang w:eastAsia="lt-LT"/>
              </w:rPr>
            </w:pPr>
            <w:r>
              <w:rPr>
                <w:szCs w:val="24"/>
                <w:lang w:eastAsia="lt-LT"/>
              </w:rPr>
              <w:t>Taip</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19.</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pPr>
            <w:r>
              <w:rPr>
                <w:szCs w:val="24"/>
                <w:lang w:eastAsia="lt-LT"/>
              </w:rPr>
              <w:t>Kiti svarbūs kriterijai</w:t>
            </w:r>
          </w:p>
        </w:tc>
        <w:tc>
          <w:tcPr>
            <w:tcW w:w="39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E33466">
            <w:pPr>
              <w:suppressAutoHyphens/>
              <w:spacing w:line="276" w:lineRule="auto"/>
              <w:textAlignment w:val="baseline"/>
              <w:rPr>
                <w:szCs w:val="24"/>
                <w:lang w:eastAsia="lt-LT"/>
              </w:rPr>
            </w:pPr>
            <w:r>
              <w:rPr>
                <w:szCs w:val="24"/>
                <w:lang w:eastAsia="lt-LT"/>
              </w:rPr>
              <w:t>Nėra</w:t>
            </w:r>
          </w:p>
        </w:tc>
        <w:tc>
          <w:tcPr>
            <w:tcW w:w="3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trPr>
          <w:gridBefore w:val="1"/>
          <w:wBefore w:w="103" w:type="dxa"/>
          <w:trHeight w:val="23"/>
        </w:trPr>
        <w:tc>
          <w:tcPr>
            <w:tcW w:w="2457" w:type="dxa"/>
            <w:gridSpan w:val="2"/>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p w:rsidR="00B336F0" w:rsidRDefault="00E33466" w:rsidP="00E33466">
            <w:pPr>
              <w:suppressAutoHyphens/>
              <w:spacing w:line="276" w:lineRule="auto"/>
              <w:jc w:val="both"/>
              <w:textAlignment w:val="baseline"/>
              <w:rPr>
                <w:szCs w:val="24"/>
                <w:lang w:eastAsia="lt-LT"/>
              </w:rPr>
            </w:pPr>
            <w:r>
              <w:rPr>
                <w:szCs w:val="24"/>
                <w:lang w:eastAsia="lt-LT"/>
              </w:rPr>
              <w:t xml:space="preserve">Teisės akto projekto </w:t>
            </w:r>
            <w:r w:rsidR="00D44316">
              <w:rPr>
                <w:szCs w:val="24"/>
                <w:lang w:eastAsia="lt-LT"/>
              </w:rPr>
              <w:t>tiesioginis rengėjas:</w:t>
            </w:r>
            <w:r>
              <w:rPr>
                <w:szCs w:val="24"/>
                <w:lang w:eastAsia="lt-LT"/>
              </w:rPr>
              <w:t xml:space="preserve"> </w:t>
            </w:r>
          </w:p>
        </w:tc>
        <w:tc>
          <w:tcPr>
            <w:tcW w:w="4773" w:type="dxa"/>
            <w:gridSpan w:val="2"/>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p w:rsidR="00B336F0" w:rsidRDefault="00B336F0">
            <w:pPr>
              <w:suppressAutoHyphens/>
              <w:spacing w:line="276" w:lineRule="auto"/>
              <w:textAlignment w:val="baseline"/>
              <w:rPr>
                <w:szCs w:val="24"/>
                <w:lang w:eastAsia="lt-LT"/>
              </w:rPr>
            </w:pPr>
          </w:p>
        </w:tc>
        <w:tc>
          <w:tcPr>
            <w:tcW w:w="2434" w:type="dxa"/>
            <w:gridSpan w:val="2"/>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p w:rsidR="00B336F0" w:rsidRDefault="00D44316">
            <w:pPr>
              <w:suppressAutoHyphens/>
              <w:spacing w:line="276" w:lineRule="auto"/>
              <w:textAlignment w:val="baseline"/>
              <w:rPr>
                <w:szCs w:val="24"/>
                <w:lang w:eastAsia="lt-LT"/>
              </w:rPr>
            </w:pPr>
            <w:r>
              <w:rPr>
                <w:szCs w:val="24"/>
                <w:lang w:eastAsia="lt-LT"/>
              </w:rPr>
              <w:t>Teisės akto projekto vertintojas:</w:t>
            </w:r>
          </w:p>
        </w:tc>
        <w:tc>
          <w:tcPr>
            <w:tcW w:w="5679" w:type="dxa"/>
            <w:gridSpan w:val="3"/>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r>
      <w:tr w:rsidR="00B336F0">
        <w:trPr>
          <w:gridBefore w:val="1"/>
          <w:wBefore w:w="103" w:type="dxa"/>
          <w:trHeight w:val="23"/>
        </w:trPr>
        <w:tc>
          <w:tcPr>
            <w:tcW w:w="2457" w:type="dxa"/>
            <w:gridSpan w:val="2"/>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4773" w:type="dxa"/>
            <w:gridSpan w:val="2"/>
            <w:tcBorders>
              <w:top w:val="nil"/>
              <w:left w:val="nil"/>
              <w:bottom w:val="nil"/>
              <w:right w:val="nil"/>
            </w:tcBorders>
            <w:tcMar>
              <w:top w:w="0" w:type="dxa"/>
              <w:left w:w="108" w:type="dxa"/>
              <w:bottom w:w="0" w:type="dxa"/>
              <w:right w:w="108" w:type="dxa"/>
            </w:tcMar>
            <w:hideMark/>
          </w:tcPr>
          <w:p w:rsidR="00B336F0" w:rsidRDefault="00D44316">
            <w:pPr>
              <w:suppressAutoHyphens/>
              <w:spacing w:line="276" w:lineRule="auto"/>
              <w:ind w:left="-11" w:firstLine="11"/>
              <w:textAlignment w:val="baseline"/>
              <w:rPr>
                <w:szCs w:val="24"/>
                <w:lang w:eastAsia="lt-LT"/>
              </w:rPr>
            </w:pPr>
            <w:r>
              <w:rPr>
                <w:szCs w:val="24"/>
                <w:lang w:eastAsia="lt-LT"/>
              </w:rPr>
              <w:t>(pareigos)                         (vardas ir pavardė)</w:t>
            </w:r>
          </w:p>
        </w:tc>
        <w:tc>
          <w:tcPr>
            <w:tcW w:w="2434" w:type="dxa"/>
            <w:gridSpan w:val="2"/>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5679" w:type="dxa"/>
            <w:gridSpan w:val="3"/>
            <w:tcBorders>
              <w:top w:val="nil"/>
              <w:left w:val="nil"/>
              <w:bottom w:val="nil"/>
              <w:right w:val="nil"/>
            </w:tcBorders>
            <w:tcMar>
              <w:top w:w="0" w:type="dxa"/>
              <w:left w:w="108" w:type="dxa"/>
              <w:bottom w:w="0" w:type="dxa"/>
              <w:right w:w="108" w:type="dxa"/>
            </w:tcMar>
            <w:hideMark/>
          </w:tcPr>
          <w:p w:rsidR="00B336F0" w:rsidRDefault="00D44316">
            <w:pPr>
              <w:suppressAutoHyphens/>
              <w:spacing w:line="276" w:lineRule="auto"/>
              <w:ind w:left="-11" w:firstLine="11"/>
              <w:textAlignment w:val="baseline"/>
              <w:rPr>
                <w:szCs w:val="24"/>
                <w:lang w:eastAsia="lt-LT"/>
              </w:rPr>
            </w:pPr>
            <w:r>
              <w:rPr>
                <w:szCs w:val="24"/>
                <w:lang w:eastAsia="lt-LT"/>
              </w:rPr>
              <w:t>(pareigos)                                       (vardas ir pavardė)</w:t>
            </w:r>
          </w:p>
        </w:tc>
      </w:tr>
      <w:tr w:rsidR="00B336F0">
        <w:trPr>
          <w:gridBefore w:val="1"/>
          <w:wBefore w:w="103" w:type="dxa"/>
          <w:trHeight w:val="23"/>
        </w:trPr>
        <w:tc>
          <w:tcPr>
            <w:tcW w:w="2457" w:type="dxa"/>
            <w:gridSpan w:val="2"/>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4773" w:type="dxa"/>
            <w:gridSpan w:val="2"/>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434" w:type="dxa"/>
            <w:gridSpan w:val="2"/>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5679" w:type="dxa"/>
            <w:gridSpan w:val="3"/>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ind w:left="-11" w:firstLine="11"/>
              <w:textAlignment w:val="baseline"/>
              <w:rPr>
                <w:szCs w:val="24"/>
                <w:lang w:eastAsia="lt-LT"/>
              </w:rPr>
            </w:pPr>
          </w:p>
        </w:tc>
      </w:tr>
      <w:tr w:rsidR="00B336F0">
        <w:trPr>
          <w:gridBefore w:val="1"/>
          <w:wBefore w:w="103" w:type="dxa"/>
          <w:trHeight w:val="555"/>
        </w:trPr>
        <w:tc>
          <w:tcPr>
            <w:tcW w:w="2457" w:type="dxa"/>
            <w:gridSpan w:val="2"/>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4773" w:type="dxa"/>
            <w:gridSpan w:val="2"/>
            <w:tcBorders>
              <w:top w:val="nil"/>
              <w:left w:val="nil"/>
              <w:bottom w:val="nil"/>
              <w:right w:val="nil"/>
            </w:tcBorders>
            <w:tcMar>
              <w:top w:w="0" w:type="dxa"/>
              <w:left w:w="108" w:type="dxa"/>
              <w:bottom w:w="0" w:type="dxa"/>
              <w:right w:w="108" w:type="dxa"/>
            </w:tcMar>
          </w:tcPr>
          <w:p w:rsidR="00B336F0" w:rsidRDefault="00D44316">
            <w:pPr>
              <w:suppressAutoHyphens/>
              <w:spacing w:line="276" w:lineRule="auto"/>
              <w:ind w:left="-11" w:firstLine="11"/>
              <w:textAlignment w:val="baseline"/>
              <w:rPr>
                <w:szCs w:val="24"/>
                <w:lang w:eastAsia="lt-LT"/>
              </w:rPr>
            </w:pPr>
            <w:r>
              <w:rPr>
                <w:szCs w:val="24"/>
                <w:lang w:eastAsia="lt-LT"/>
              </w:rPr>
              <w:t>(parašas)                                      (data)</w:t>
            </w:r>
          </w:p>
          <w:p w:rsidR="00B336F0" w:rsidRDefault="00B336F0">
            <w:pPr>
              <w:suppressAutoHyphens/>
              <w:spacing w:line="276" w:lineRule="auto"/>
              <w:ind w:left="-11" w:firstLine="11"/>
              <w:textAlignment w:val="baseline"/>
              <w:rPr>
                <w:szCs w:val="24"/>
                <w:lang w:eastAsia="lt-LT"/>
              </w:rPr>
            </w:pPr>
          </w:p>
          <w:p w:rsidR="00B336F0" w:rsidRDefault="00B336F0">
            <w:pPr>
              <w:suppressAutoHyphens/>
              <w:spacing w:line="276" w:lineRule="auto"/>
              <w:ind w:left="-11" w:firstLine="11"/>
              <w:textAlignment w:val="baseline"/>
              <w:rPr>
                <w:szCs w:val="24"/>
                <w:lang w:eastAsia="lt-LT"/>
              </w:rPr>
            </w:pPr>
          </w:p>
        </w:tc>
        <w:tc>
          <w:tcPr>
            <w:tcW w:w="2434" w:type="dxa"/>
            <w:gridSpan w:val="2"/>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5679" w:type="dxa"/>
            <w:gridSpan w:val="3"/>
            <w:tcBorders>
              <w:top w:val="nil"/>
              <w:left w:val="nil"/>
              <w:bottom w:val="nil"/>
              <w:right w:val="nil"/>
            </w:tcBorders>
            <w:tcMar>
              <w:top w:w="0" w:type="dxa"/>
              <w:left w:w="108" w:type="dxa"/>
              <w:bottom w:w="0" w:type="dxa"/>
              <w:right w:w="108" w:type="dxa"/>
            </w:tcMar>
          </w:tcPr>
          <w:p w:rsidR="00B336F0" w:rsidRDefault="00D44316">
            <w:pPr>
              <w:suppressAutoHyphens/>
              <w:spacing w:line="276" w:lineRule="auto"/>
              <w:ind w:left="-11" w:firstLine="64"/>
              <w:textAlignment w:val="baseline"/>
              <w:rPr>
                <w:szCs w:val="24"/>
                <w:lang w:eastAsia="lt-LT"/>
              </w:rPr>
            </w:pPr>
            <w:r>
              <w:rPr>
                <w:szCs w:val="24"/>
                <w:lang w:eastAsia="lt-LT"/>
              </w:rPr>
              <w:t>(parašas)                                                     (data)</w:t>
            </w:r>
          </w:p>
          <w:p w:rsidR="00B336F0" w:rsidRDefault="00B336F0">
            <w:pPr>
              <w:suppressAutoHyphens/>
              <w:spacing w:line="276" w:lineRule="auto"/>
              <w:ind w:left="-11" w:firstLine="64"/>
              <w:textAlignment w:val="baseline"/>
              <w:rPr>
                <w:szCs w:val="24"/>
                <w:lang w:eastAsia="lt-LT"/>
              </w:rPr>
            </w:pPr>
          </w:p>
          <w:p w:rsidR="00B336F0" w:rsidRDefault="00B336F0">
            <w:pPr>
              <w:suppressAutoHyphens/>
              <w:spacing w:line="276" w:lineRule="auto"/>
              <w:ind w:left="-11" w:firstLine="64"/>
              <w:textAlignment w:val="baseline"/>
              <w:rPr>
                <w:szCs w:val="24"/>
                <w:lang w:eastAsia="lt-LT"/>
              </w:rPr>
            </w:pPr>
          </w:p>
        </w:tc>
      </w:tr>
    </w:tbl>
    <w:p w:rsidR="00B336F0" w:rsidRDefault="00D44316" w:rsidP="00B41A6E">
      <w:pPr>
        <w:tabs>
          <w:tab w:val="left" w:pos="6237"/>
        </w:tabs>
        <w:suppressAutoHyphens/>
        <w:spacing w:line="276" w:lineRule="auto"/>
        <w:jc w:val="center"/>
        <w:textAlignment w:val="baseline"/>
        <w:rPr>
          <w:lang w:eastAsia="lt-LT"/>
        </w:rPr>
      </w:pPr>
      <w:r>
        <w:rPr>
          <w:color w:val="000000"/>
          <w:szCs w:val="24"/>
          <w:lang w:eastAsia="lt-LT"/>
        </w:rPr>
        <w:t>___________________________</w:t>
      </w:r>
      <w:bookmarkStart w:id="0" w:name="_GoBack"/>
      <w:bookmarkEnd w:id="0"/>
    </w:p>
    <w:sectPr w:rsidR="00B336F0" w:rsidSect="00D44316">
      <w:headerReference w:type="even" r:id="rId6"/>
      <w:headerReference w:type="default" r:id="rId7"/>
      <w:footerReference w:type="even" r:id="rId8"/>
      <w:footerReference w:type="default" r:id="rId9"/>
      <w:headerReference w:type="first" r:id="rId10"/>
      <w:footerReference w:type="first" r:id="rId11"/>
      <w:pgSz w:w="16838" w:h="11906" w:orient="landscape" w:code="9"/>
      <w:pgMar w:top="1701" w:right="1134" w:bottom="1134" w:left="1134" w:header="567" w:footer="567"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9F9" w:rsidRDefault="00FB49F9">
      <w:pPr>
        <w:rPr>
          <w:lang w:eastAsia="lt-LT"/>
        </w:rPr>
      </w:pPr>
      <w:r>
        <w:rPr>
          <w:lang w:eastAsia="lt-LT"/>
        </w:rPr>
        <w:separator/>
      </w:r>
    </w:p>
  </w:endnote>
  <w:endnote w:type="continuationSeparator" w:id="0">
    <w:p w:rsidR="00FB49F9" w:rsidRDefault="00FB49F9">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6F0" w:rsidRDefault="00B336F0">
    <w:pPr>
      <w:tabs>
        <w:tab w:val="center" w:pos="4153"/>
        <w:tab w:val="right" w:pos="8306"/>
      </w:tabs>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6F0" w:rsidRDefault="00B336F0">
    <w:pPr>
      <w:tabs>
        <w:tab w:val="center" w:pos="4153"/>
        <w:tab w:val="right" w:pos="8306"/>
      </w:tabs>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6F0" w:rsidRDefault="00B336F0">
    <w:pPr>
      <w:tabs>
        <w:tab w:val="center" w:pos="4153"/>
        <w:tab w:val="right" w:pos="8306"/>
      </w:tabs>
      <w:rPr>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9F9" w:rsidRDefault="00FB49F9">
      <w:pPr>
        <w:rPr>
          <w:lang w:eastAsia="lt-LT"/>
        </w:rPr>
      </w:pPr>
      <w:r>
        <w:rPr>
          <w:lang w:eastAsia="lt-LT"/>
        </w:rPr>
        <w:separator/>
      </w:r>
    </w:p>
  </w:footnote>
  <w:footnote w:type="continuationSeparator" w:id="0">
    <w:p w:rsidR="00FB49F9" w:rsidRDefault="00FB49F9">
      <w:pPr>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6F0" w:rsidRDefault="00D44316">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rsidR="00B336F0" w:rsidRDefault="00B336F0">
    <w:pPr>
      <w:tabs>
        <w:tab w:val="center" w:pos="4153"/>
        <w:tab w:val="right" w:pos="8306"/>
      </w:tabs>
      <w:spacing w:after="160" w:line="259" w:lineRule="auto"/>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890757"/>
      <w:docPartObj>
        <w:docPartGallery w:val="Page Numbers (Top of Page)"/>
        <w:docPartUnique/>
      </w:docPartObj>
    </w:sdtPr>
    <w:sdtEndPr/>
    <w:sdtContent>
      <w:p w:rsidR="00B336F0" w:rsidRDefault="00D44316" w:rsidP="00D44316">
        <w:pPr>
          <w:pStyle w:val="Antrats"/>
          <w:jc w:val="center"/>
        </w:pPr>
        <w:r>
          <w:fldChar w:fldCharType="begin"/>
        </w:r>
        <w:r>
          <w:instrText>PAGE   \* MERGEFORMAT</w:instrText>
        </w:r>
        <w:r>
          <w:fldChar w:fldCharType="separate"/>
        </w:r>
        <w:r w:rsidR="00B41A6E">
          <w:rPr>
            <w:noProof/>
          </w:rPr>
          <w:t>6</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6F0" w:rsidRDefault="00B336F0">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E7"/>
    <w:rsid w:val="000150D8"/>
    <w:rsid w:val="00034015"/>
    <w:rsid w:val="000517ED"/>
    <w:rsid w:val="00297F5D"/>
    <w:rsid w:val="002E5FF5"/>
    <w:rsid w:val="00330A1C"/>
    <w:rsid w:val="003F7946"/>
    <w:rsid w:val="00494587"/>
    <w:rsid w:val="004C16CE"/>
    <w:rsid w:val="004C66E7"/>
    <w:rsid w:val="004F38E2"/>
    <w:rsid w:val="00524898"/>
    <w:rsid w:val="0065558A"/>
    <w:rsid w:val="006815C3"/>
    <w:rsid w:val="006E0000"/>
    <w:rsid w:val="007878E6"/>
    <w:rsid w:val="00862D8A"/>
    <w:rsid w:val="009171D3"/>
    <w:rsid w:val="009E5B7B"/>
    <w:rsid w:val="00AF7DD3"/>
    <w:rsid w:val="00B336F0"/>
    <w:rsid w:val="00B41A6E"/>
    <w:rsid w:val="00D44316"/>
    <w:rsid w:val="00DF788C"/>
    <w:rsid w:val="00E33466"/>
    <w:rsid w:val="00E531FF"/>
    <w:rsid w:val="00FB49F9"/>
    <w:rsid w:val="00FF79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BF221B3-A7E6-410D-A07D-10305C85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44316"/>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D44316"/>
    <w:rPr>
      <w:rFonts w:asciiTheme="minorHAnsi" w:eastAsiaTheme="minorEastAsia" w:hAnsiTheme="minorHAnsi"/>
      <w:sz w:val="22"/>
      <w:szCs w:val="22"/>
      <w:lang w:eastAsia="lt-LT"/>
    </w:rPr>
  </w:style>
  <w:style w:type="character" w:styleId="Vietosrezervavimoenklotekstas">
    <w:name w:val="Placeholder Text"/>
    <w:basedOn w:val="Numatytasispastraiposriftas"/>
    <w:rsid w:val="00D44316"/>
    <w:rPr>
      <w:color w:val="808080"/>
    </w:rPr>
  </w:style>
  <w:style w:type="paragraph" w:styleId="Debesliotekstas">
    <w:name w:val="Balloon Text"/>
    <w:basedOn w:val="prastasis"/>
    <w:link w:val="DebesliotekstasDiagrama"/>
    <w:semiHidden/>
    <w:unhideWhenUsed/>
    <w:rsid w:val="000517ED"/>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0517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0406841">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4801</Words>
  <Characters>2738</Characters>
  <Application>Microsoft Office Word</Application>
  <DocSecurity>0</DocSecurity>
  <Lines>22</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7524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Aušra Vyšniauskienė</cp:lastModifiedBy>
  <cp:revision>6</cp:revision>
  <cp:lastPrinted>2022-01-27T06:29:00Z</cp:lastPrinted>
  <dcterms:created xsi:type="dcterms:W3CDTF">2022-01-26T15:16:00Z</dcterms:created>
  <dcterms:modified xsi:type="dcterms:W3CDTF">2022-01-27T06:29:00Z</dcterms:modified>
</cp:coreProperties>
</file>